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E6771" w14:textId="44C1E2EB" w:rsidR="00AD7B50" w:rsidRPr="00F70199" w:rsidRDefault="00AD7B50" w:rsidP="00AD7B50">
      <w:pPr>
        <w:jc w:val="center"/>
        <w:rPr>
          <w:b/>
          <w:sz w:val="20"/>
          <w:szCs w:val="20"/>
        </w:rPr>
      </w:pPr>
      <w:r w:rsidRPr="00F70199">
        <w:rPr>
          <w:b/>
          <w:sz w:val="20"/>
          <w:szCs w:val="20"/>
        </w:rPr>
        <w:t>US PRESIDENTIAL ELECTIONS 2016</w:t>
      </w:r>
    </w:p>
    <w:p w14:paraId="3520BD9B" w14:textId="77777777" w:rsidR="00AD7B50" w:rsidRPr="00F70199" w:rsidRDefault="00AD7B50" w:rsidP="00AD7B50">
      <w:pPr>
        <w:jc w:val="center"/>
        <w:rPr>
          <w:sz w:val="20"/>
          <w:szCs w:val="20"/>
        </w:rPr>
      </w:pPr>
    </w:p>
    <w:p w14:paraId="49C065A1" w14:textId="77777777" w:rsidR="00085AB4" w:rsidRDefault="00085AB4">
      <w:pPr>
        <w:rPr>
          <w:sz w:val="20"/>
          <w:szCs w:val="20"/>
        </w:rPr>
      </w:pPr>
    </w:p>
    <w:p w14:paraId="7B0345CB" w14:textId="39CDFD9E" w:rsidR="00AD7B50" w:rsidRPr="00F70199" w:rsidRDefault="00F70199">
      <w:pPr>
        <w:rPr>
          <w:b/>
          <w:smallCaps/>
          <w:sz w:val="20"/>
          <w:szCs w:val="20"/>
        </w:rPr>
      </w:pPr>
      <w:r w:rsidRPr="00F70199">
        <w:rPr>
          <w:b/>
          <w:smallCaps/>
          <w:sz w:val="20"/>
          <w:szCs w:val="20"/>
        </w:rPr>
        <w:t>Democracy can be Silly</w:t>
      </w:r>
    </w:p>
    <w:p w14:paraId="7D9359D1" w14:textId="77777777" w:rsidR="00F70199" w:rsidRPr="00F70199" w:rsidRDefault="00F70199" w:rsidP="00F70199">
      <w:pPr>
        <w:rPr>
          <w:sz w:val="10"/>
          <w:szCs w:val="10"/>
        </w:rPr>
      </w:pPr>
    </w:p>
    <w:p w14:paraId="7BE777C5" w14:textId="0F90B69A" w:rsidR="00AD7B50" w:rsidRPr="00F70199" w:rsidRDefault="0004082D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AD7B50" w:rsidRPr="00F70199">
        <w:rPr>
          <w:sz w:val="20"/>
          <w:szCs w:val="20"/>
        </w:rPr>
        <w:t xml:space="preserve">If you ask a silly question, you get </w:t>
      </w:r>
      <w:r w:rsidR="00085AB4">
        <w:rPr>
          <w:sz w:val="20"/>
          <w:szCs w:val="20"/>
        </w:rPr>
        <w:t xml:space="preserve">either </w:t>
      </w:r>
      <w:r w:rsidR="00AD7B50" w:rsidRPr="00F70199">
        <w:rPr>
          <w:sz w:val="20"/>
          <w:szCs w:val="20"/>
        </w:rPr>
        <w:t>a silly answer</w:t>
      </w:r>
      <w:r w:rsidR="00085AB4">
        <w:rPr>
          <w:sz w:val="20"/>
          <w:szCs w:val="20"/>
        </w:rPr>
        <w:t>… or nothing</w:t>
      </w:r>
      <w:r w:rsidR="00AD7B50" w:rsidRPr="00F70199">
        <w:rPr>
          <w:sz w:val="20"/>
          <w:szCs w:val="20"/>
        </w:rPr>
        <w:t xml:space="preserve">.  That was </w:t>
      </w:r>
      <w:proofErr w:type="spellStart"/>
      <w:r w:rsidR="00AD7B50" w:rsidRPr="00F70199">
        <w:rPr>
          <w:sz w:val="20"/>
          <w:szCs w:val="20"/>
        </w:rPr>
        <w:t>brexit</w:t>
      </w:r>
      <w:proofErr w:type="spellEnd"/>
      <w:r w:rsidR="00AD7B50" w:rsidRPr="00F70199">
        <w:rPr>
          <w:sz w:val="20"/>
          <w:szCs w:val="20"/>
        </w:rPr>
        <w:t>, and we still don’t know what the answer was, is</w:t>
      </w:r>
      <w:r w:rsidR="00F70199" w:rsidRPr="00F70199">
        <w:rPr>
          <w:sz w:val="20"/>
          <w:szCs w:val="20"/>
        </w:rPr>
        <w:t>,</w:t>
      </w:r>
      <w:r w:rsidR="00AD7B50" w:rsidRPr="00F70199">
        <w:rPr>
          <w:sz w:val="20"/>
          <w:szCs w:val="20"/>
        </w:rPr>
        <w:t xml:space="preserve"> or will be.</w:t>
      </w:r>
      <w:r>
        <w:rPr>
          <w:sz w:val="20"/>
          <w:szCs w:val="20"/>
        </w:rPr>
        <w:t>)</w:t>
      </w:r>
      <w:r w:rsidR="00AD7B50" w:rsidRPr="00F70199">
        <w:rPr>
          <w:sz w:val="20"/>
          <w:szCs w:val="20"/>
        </w:rPr>
        <w:t xml:space="preserve">  </w:t>
      </w:r>
    </w:p>
    <w:p w14:paraId="3F0EAA96" w14:textId="77777777" w:rsidR="00AD7B50" w:rsidRPr="00F70199" w:rsidRDefault="00AD7B50">
      <w:pPr>
        <w:rPr>
          <w:sz w:val="10"/>
          <w:szCs w:val="10"/>
        </w:rPr>
      </w:pPr>
    </w:p>
    <w:p w14:paraId="3CC0D45A" w14:textId="01A16193" w:rsidR="009C5B0F" w:rsidRPr="00F70199" w:rsidRDefault="00AD7B50">
      <w:pPr>
        <w:rPr>
          <w:sz w:val="20"/>
          <w:szCs w:val="20"/>
        </w:rPr>
      </w:pPr>
      <w:r w:rsidRPr="00F70199">
        <w:rPr>
          <w:sz w:val="20"/>
          <w:szCs w:val="20"/>
        </w:rPr>
        <w:t>If you use a silly voting system, you get a silly answer</w:t>
      </w:r>
      <w:r w:rsidR="00085AB4">
        <w:rPr>
          <w:sz w:val="20"/>
          <w:szCs w:val="20"/>
        </w:rPr>
        <w:t>, and nothing else</w:t>
      </w:r>
      <w:r w:rsidRPr="00F70199">
        <w:rPr>
          <w:sz w:val="20"/>
          <w:szCs w:val="20"/>
        </w:rPr>
        <w:t xml:space="preserve">.  That is </w:t>
      </w:r>
      <w:r w:rsidR="00F70199" w:rsidRPr="00F70199">
        <w:rPr>
          <w:sz w:val="20"/>
          <w:szCs w:val="20"/>
        </w:rPr>
        <w:t xml:space="preserve">now </w:t>
      </w:r>
      <w:r w:rsidRPr="00F70199">
        <w:rPr>
          <w:sz w:val="20"/>
          <w:szCs w:val="20"/>
        </w:rPr>
        <w:t xml:space="preserve">Trump.  </w:t>
      </w:r>
      <w:r w:rsidR="009C5B0F" w:rsidRPr="00F70199">
        <w:rPr>
          <w:sz w:val="20"/>
          <w:szCs w:val="20"/>
        </w:rPr>
        <w:t>Clinton wins the largest minority.  But Trump w</w:t>
      </w:r>
      <w:r w:rsidR="00F70199" w:rsidRPr="00F70199">
        <w:rPr>
          <w:sz w:val="20"/>
          <w:szCs w:val="20"/>
        </w:rPr>
        <w:t>ins</w:t>
      </w:r>
      <w:r w:rsidR="00085AB4">
        <w:rPr>
          <w:sz w:val="20"/>
          <w:szCs w:val="20"/>
        </w:rPr>
        <w:t>, and wins everything!</w:t>
      </w:r>
      <w:r w:rsidR="00F70199" w:rsidRPr="00F70199">
        <w:rPr>
          <w:sz w:val="20"/>
          <w:szCs w:val="20"/>
        </w:rPr>
        <w:t xml:space="preserve">  Now isn’t that just silly?</w:t>
      </w:r>
      <w:r w:rsidR="009C5B0F" w:rsidRPr="00F70199">
        <w:rPr>
          <w:sz w:val="20"/>
          <w:szCs w:val="20"/>
        </w:rPr>
        <w:t xml:space="preserve">  </w:t>
      </w:r>
    </w:p>
    <w:p w14:paraId="06263B9F" w14:textId="77777777" w:rsidR="004F7EDF" w:rsidRPr="00F70199" w:rsidRDefault="004F7EDF" w:rsidP="004F7EDF">
      <w:pPr>
        <w:rPr>
          <w:sz w:val="10"/>
          <w:szCs w:val="10"/>
        </w:rPr>
      </w:pPr>
    </w:p>
    <w:p w14:paraId="44FB2B88" w14:textId="07FB6456" w:rsidR="00AD7B50" w:rsidRPr="00F70199" w:rsidRDefault="00AD7B50">
      <w:pPr>
        <w:rPr>
          <w:sz w:val="20"/>
          <w:szCs w:val="20"/>
        </w:rPr>
      </w:pPr>
      <w:r w:rsidRPr="00F70199">
        <w:rPr>
          <w:sz w:val="20"/>
          <w:szCs w:val="20"/>
        </w:rPr>
        <w:t>The Founding Fathers wanted to break away from the “frightful despotism”</w:t>
      </w:r>
      <w:r w:rsidRPr="00F70199">
        <w:rPr>
          <w:rStyle w:val="FootnoteReference"/>
          <w:sz w:val="20"/>
          <w:szCs w:val="20"/>
        </w:rPr>
        <w:footnoteReference w:id="1"/>
      </w:r>
      <w:r w:rsidRPr="00F70199">
        <w:rPr>
          <w:sz w:val="20"/>
          <w:szCs w:val="20"/>
        </w:rPr>
        <w:t xml:space="preserve"> of the British two-party political system, so they devised a </w:t>
      </w:r>
      <w:r w:rsidR="009C5B0F" w:rsidRPr="00F70199">
        <w:rPr>
          <w:sz w:val="20"/>
          <w:szCs w:val="20"/>
        </w:rPr>
        <w:t>new presidential electoral system</w:t>
      </w:r>
      <w:r w:rsidRPr="00F70199">
        <w:rPr>
          <w:sz w:val="20"/>
          <w:szCs w:val="20"/>
        </w:rPr>
        <w:t xml:space="preserve">: the winner wins, </w:t>
      </w:r>
      <w:r w:rsidRPr="00F70199">
        <w:rPr>
          <w:smallCaps/>
          <w:sz w:val="20"/>
          <w:szCs w:val="20"/>
        </w:rPr>
        <w:t>ok</w:t>
      </w:r>
      <w:r w:rsidRPr="00F70199">
        <w:rPr>
          <w:sz w:val="20"/>
          <w:szCs w:val="20"/>
        </w:rPr>
        <w:t xml:space="preserve">, </w:t>
      </w:r>
      <w:r w:rsidR="0004082D">
        <w:rPr>
          <w:sz w:val="20"/>
          <w:szCs w:val="20"/>
        </w:rPr>
        <w:t>and</w:t>
      </w:r>
      <w:r w:rsidRPr="00F70199">
        <w:rPr>
          <w:sz w:val="20"/>
          <w:szCs w:val="20"/>
        </w:rPr>
        <w:t xml:space="preserve"> the runner-up is the Vice-President</w:t>
      </w:r>
      <w:r w:rsidR="0004082D">
        <w:rPr>
          <w:sz w:val="20"/>
          <w:szCs w:val="20"/>
        </w:rPr>
        <w:t>, (and t</w:t>
      </w:r>
      <w:r w:rsidR="0004082D" w:rsidRPr="00AD7B50">
        <w:rPr>
          <w:sz w:val="20"/>
          <w:szCs w:val="20"/>
        </w:rPr>
        <w:t>hey also devised formulas for proportional representation</w:t>
      </w:r>
      <w:r w:rsidR="0004082D">
        <w:rPr>
          <w:sz w:val="20"/>
          <w:szCs w:val="20"/>
        </w:rPr>
        <w:t xml:space="preserve">, </w:t>
      </w:r>
      <w:r w:rsidR="0004082D" w:rsidRPr="0004082D">
        <w:rPr>
          <w:smallCaps/>
          <w:sz w:val="20"/>
          <w:szCs w:val="20"/>
        </w:rPr>
        <w:t>pr</w:t>
      </w:r>
      <w:r w:rsidR="0004082D">
        <w:rPr>
          <w:sz w:val="20"/>
          <w:szCs w:val="20"/>
        </w:rPr>
        <w:t>)</w:t>
      </w:r>
      <w:r w:rsidRPr="00F70199">
        <w:rPr>
          <w:sz w:val="20"/>
          <w:szCs w:val="20"/>
        </w:rPr>
        <w:t xml:space="preserve">. </w:t>
      </w:r>
      <w:r w:rsidR="009C5B0F" w:rsidRPr="00F70199">
        <w:rPr>
          <w:sz w:val="20"/>
          <w:szCs w:val="20"/>
        </w:rPr>
        <w:t xml:space="preserve"> T</w:t>
      </w:r>
      <w:r w:rsidRPr="00F70199">
        <w:rPr>
          <w:sz w:val="20"/>
          <w:szCs w:val="20"/>
        </w:rPr>
        <w:t xml:space="preserve">hey did </w:t>
      </w:r>
      <w:r w:rsidR="009C5B0F" w:rsidRPr="00F70199">
        <w:rPr>
          <w:sz w:val="20"/>
          <w:szCs w:val="20"/>
        </w:rPr>
        <w:t xml:space="preserve">not, however, </w:t>
      </w:r>
      <w:r w:rsidRPr="00F70199">
        <w:rPr>
          <w:sz w:val="20"/>
          <w:szCs w:val="20"/>
        </w:rPr>
        <w:t xml:space="preserve">change the decision-making methodology; just as in old Europe, so too in the New World, they used </w:t>
      </w:r>
      <w:r w:rsidR="009C5B0F" w:rsidRPr="00F70199">
        <w:rPr>
          <w:sz w:val="20"/>
          <w:szCs w:val="20"/>
        </w:rPr>
        <w:t>binary</w:t>
      </w:r>
      <w:r w:rsidRPr="00F70199">
        <w:rPr>
          <w:sz w:val="20"/>
          <w:szCs w:val="20"/>
        </w:rPr>
        <w:t xml:space="preserve"> voting, </w:t>
      </w:r>
      <w:r w:rsidR="009C5B0F" w:rsidRPr="00F70199">
        <w:rPr>
          <w:sz w:val="20"/>
          <w:szCs w:val="20"/>
        </w:rPr>
        <w:t>as first used in Ancient Greece</w:t>
      </w:r>
      <w:r w:rsidRPr="00F70199">
        <w:rPr>
          <w:sz w:val="20"/>
          <w:szCs w:val="20"/>
        </w:rPr>
        <w:t>.  Hence, after about 30 years, the two-party system; hence the change in the presidential elections to a party ticket</w:t>
      </w:r>
      <w:r w:rsidR="009C5B0F" w:rsidRPr="00F70199">
        <w:rPr>
          <w:sz w:val="20"/>
          <w:szCs w:val="20"/>
        </w:rPr>
        <w:t xml:space="preserve"> – so the winner wins everything</w:t>
      </w:r>
      <w:r w:rsidRPr="00F70199">
        <w:rPr>
          <w:sz w:val="20"/>
          <w:szCs w:val="20"/>
        </w:rPr>
        <w:t xml:space="preserve">; </w:t>
      </w:r>
      <w:r w:rsidR="0004082D">
        <w:rPr>
          <w:sz w:val="20"/>
          <w:szCs w:val="20"/>
        </w:rPr>
        <w:t xml:space="preserve">hence party political patronage and </w:t>
      </w:r>
      <w:proofErr w:type="gramStart"/>
      <w:r w:rsidR="0004082D">
        <w:rPr>
          <w:sz w:val="20"/>
          <w:szCs w:val="20"/>
        </w:rPr>
        <w:t>all that</w:t>
      </w:r>
      <w:proofErr w:type="gramEnd"/>
      <w:r w:rsidR="0004082D">
        <w:rPr>
          <w:sz w:val="20"/>
          <w:szCs w:val="20"/>
        </w:rPr>
        <w:t xml:space="preserve"> silly stuff; </w:t>
      </w:r>
      <w:r w:rsidRPr="00F70199">
        <w:rPr>
          <w:sz w:val="20"/>
          <w:szCs w:val="20"/>
        </w:rPr>
        <w:t>and hence</w:t>
      </w:r>
      <w:r w:rsidR="00F70199" w:rsidRPr="00F70199">
        <w:rPr>
          <w:sz w:val="20"/>
          <w:szCs w:val="20"/>
        </w:rPr>
        <w:t>, now,</w:t>
      </w:r>
      <w:r w:rsidRPr="00F70199">
        <w:rPr>
          <w:sz w:val="20"/>
          <w:szCs w:val="20"/>
        </w:rPr>
        <w:t xml:space="preserve"> Trump.</w:t>
      </w:r>
    </w:p>
    <w:p w14:paraId="03C9F50B" w14:textId="77777777" w:rsidR="004F7EDF" w:rsidRPr="00F70199" w:rsidRDefault="004F7EDF" w:rsidP="004F7EDF">
      <w:pPr>
        <w:rPr>
          <w:sz w:val="10"/>
          <w:szCs w:val="10"/>
        </w:rPr>
      </w:pPr>
    </w:p>
    <w:p w14:paraId="0B166CD4" w14:textId="30274662" w:rsidR="00AD7B50" w:rsidRPr="00F70199" w:rsidRDefault="00AD7B50">
      <w:pPr>
        <w:rPr>
          <w:sz w:val="20"/>
          <w:szCs w:val="20"/>
        </w:rPr>
      </w:pPr>
      <w:r w:rsidRPr="00F70199">
        <w:rPr>
          <w:sz w:val="20"/>
          <w:szCs w:val="20"/>
        </w:rPr>
        <w:t>The first-past-the-post electoral system</w:t>
      </w:r>
      <w:r w:rsidR="009C5B0F" w:rsidRPr="00F70199">
        <w:rPr>
          <w:sz w:val="20"/>
          <w:szCs w:val="20"/>
        </w:rPr>
        <w:t xml:space="preserve">, </w:t>
      </w:r>
      <w:r w:rsidR="009C5B0F" w:rsidRPr="00F70199">
        <w:rPr>
          <w:smallCaps/>
          <w:sz w:val="20"/>
          <w:szCs w:val="20"/>
        </w:rPr>
        <w:t>fptp,</w:t>
      </w:r>
      <w:r w:rsidRPr="00F70199">
        <w:rPr>
          <w:sz w:val="20"/>
          <w:szCs w:val="20"/>
        </w:rPr>
        <w:t xml:space="preserve"> is one of the most primitive and inaccurate </w:t>
      </w:r>
      <w:r w:rsidR="0004082D">
        <w:rPr>
          <w:sz w:val="20"/>
          <w:szCs w:val="20"/>
        </w:rPr>
        <w:t>electoral systems</w:t>
      </w:r>
      <w:r w:rsidRPr="00F70199">
        <w:rPr>
          <w:sz w:val="20"/>
          <w:szCs w:val="20"/>
        </w:rPr>
        <w:t xml:space="preserve"> ever concocted.  It was </w:t>
      </w:r>
      <w:r w:rsidR="00F70199" w:rsidRPr="00F70199">
        <w:rPr>
          <w:sz w:val="20"/>
          <w:szCs w:val="20"/>
        </w:rPr>
        <w:t xml:space="preserve">and still is </w:t>
      </w:r>
      <w:r w:rsidRPr="00F70199">
        <w:rPr>
          <w:sz w:val="20"/>
          <w:szCs w:val="20"/>
        </w:rPr>
        <w:t xml:space="preserve">used by the </w:t>
      </w:r>
      <w:r w:rsidR="00F70199" w:rsidRPr="00F70199">
        <w:rPr>
          <w:sz w:val="20"/>
          <w:szCs w:val="20"/>
        </w:rPr>
        <w:t xml:space="preserve">(ancient) </w:t>
      </w:r>
      <w:r w:rsidRPr="00F70199">
        <w:rPr>
          <w:sz w:val="20"/>
          <w:szCs w:val="20"/>
        </w:rPr>
        <w:t xml:space="preserve">British, so has come to be used by many in the </w:t>
      </w:r>
      <w:r w:rsidR="002867C2">
        <w:rPr>
          <w:sz w:val="20"/>
          <w:szCs w:val="20"/>
        </w:rPr>
        <w:t>‘</w:t>
      </w:r>
      <w:r w:rsidRPr="00F70199">
        <w:rPr>
          <w:sz w:val="20"/>
          <w:szCs w:val="20"/>
        </w:rPr>
        <w:t>Anglo-Saxon world</w:t>
      </w:r>
      <w:r w:rsidR="002867C2">
        <w:rPr>
          <w:sz w:val="20"/>
          <w:szCs w:val="20"/>
        </w:rPr>
        <w:t>’</w:t>
      </w:r>
      <w:r w:rsidRPr="00F70199">
        <w:rPr>
          <w:sz w:val="20"/>
          <w:szCs w:val="20"/>
        </w:rPr>
        <w:t xml:space="preserve">.  </w:t>
      </w:r>
      <w:r w:rsidR="00085AB4">
        <w:rPr>
          <w:sz w:val="20"/>
          <w:szCs w:val="20"/>
        </w:rPr>
        <w:t xml:space="preserve">Ireland uses </w:t>
      </w:r>
      <w:proofErr w:type="spellStart"/>
      <w:r w:rsidR="00085AB4" w:rsidRPr="00085AB4">
        <w:rPr>
          <w:smallCaps/>
          <w:sz w:val="20"/>
          <w:szCs w:val="20"/>
        </w:rPr>
        <w:t>pr-stv</w:t>
      </w:r>
      <w:proofErr w:type="spellEnd"/>
      <w:r w:rsidR="00085AB4">
        <w:rPr>
          <w:sz w:val="20"/>
          <w:szCs w:val="20"/>
        </w:rPr>
        <w:t xml:space="preserve">, the </w:t>
      </w:r>
      <w:r w:rsidR="00085AB4" w:rsidRPr="00AD7B50">
        <w:rPr>
          <w:sz w:val="20"/>
          <w:szCs w:val="20"/>
          <w:lang w:val="en-US"/>
        </w:rPr>
        <w:t>single transferable vote</w:t>
      </w:r>
      <w:r w:rsidR="00085AB4">
        <w:rPr>
          <w:sz w:val="20"/>
          <w:szCs w:val="20"/>
        </w:rPr>
        <w:t xml:space="preserve">; </w:t>
      </w:r>
      <w:r w:rsidRPr="00F70199">
        <w:rPr>
          <w:sz w:val="20"/>
          <w:szCs w:val="20"/>
        </w:rPr>
        <w:t xml:space="preserve">Australia the alternative vote, </w:t>
      </w:r>
      <w:r w:rsidRPr="00F70199">
        <w:rPr>
          <w:smallCaps/>
          <w:sz w:val="20"/>
          <w:szCs w:val="20"/>
        </w:rPr>
        <w:t>av</w:t>
      </w:r>
      <w:r w:rsidRPr="00F70199">
        <w:rPr>
          <w:sz w:val="20"/>
          <w:szCs w:val="20"/>
        </w:rPr>
        <w:t>;</w:t>
      </w:r>
      <w:r w:rsidR="002867C2">
        <w:rPr>
          <w:rStyle w:val="FootnoteReference"/>
          <w:sz w:val="20"/>
          <w:szCs w:val="20"/>
        </w:rPr>
        <w:footnoteReference w:id="2"/>
      </w:r>
      <w:r w:rsidRPr="00F70199">
        <w:rPr>
          <w:sz w:val="20"/>
          <w:szCs w:val="20"/>
        </w:rPr>
        <w:t xml:space="preserve"> New Zealand the German system, one half </w:t>
      </w:r>
      <w:r w:rsidRPr="00F70199">
        <w:rPr>
          <w:smallCaps/>
          <w:sz w:val="20"/>
          <w:szCs w:val="20"/>
        </w:rPr>
        <w:t>fptp</w:t>
      </w:r>
      <w:r w:rsidRPr="00F70199">
        <w:rPr>
          <w:sz w:val="20"/>
          <w:szCs w:val="20"/>
        </w:rPr>
        <w:t xml:space="preserve"> the other </w:t>
      </w:r>
      <w:r w:rsidRPr="00F70199">
        <w:rPr>
          <w:smallCaps/>
          <w:sz w:val="20"/>
          <w:szCs w:val="20"/>
        </w:rPr>
        <w:t>pr</w:t>
      </w:r>
      <w:r w:rsidRPr="00F70199">
        <w:rPr>
          <w:sz w:val="20"/>
          <w:szCs w:val="20"/>
        </w:rPr>
        <w:t>-list</w:t>
      </w:r>
      <w:proofErr w:type="gramStart"/>
      <w:r w:rsidRPr="00F70199">
        <w:rPr>
          <w:sz w:val="20"/>
          <w:szCs w:val="20"/>
        </w:rPr>
        <w:t>;</w:t>
      </w:r>
      <w:proofErr w:type="gramEnd"/>
      <w:r w:rsidRPr="00F70199">
        <w:rPr>
          <w:sz w:val="20"/>
          <w:szCs w:val="20"/>
        </w:rPr>
        <w:t xml:space="preserve"> </w:t>
      </w:r>
      <w:r w:rsidR="00085AB4">
        <w:rPr>
          <w:sz w:val="20"/>
          <w:szCs w:val="20"/>
        </w:rPr>
        <w:t xml:space="preserve">while </w:t>
      </w:r>
      <w:r w:rsidRPr="00F70199">
        <w:rPr>
          <w:sz w:val="20"/>
          <w:szCs w:val="20"/>
        </w:rPr>
        <w:t>Canada is</w:t>
      </w:r>
      <w:r w:rsidR="004F7EDF" w:rsidRPr="00F70199">
        <w:rPr>
          <w:sz w:val="20"/>
          <w:szCs w:val="20"/>
        </w:rPr>
        <w:t xml:space="preserve"> </w:t>
      </w:r>
      <w:r w:rsidR="002867C2">
        <w:rPr>
          <w:sz w:val="20"/>
          <w:szCs w:val="20"/>
        </w:rPr>
        <w:t>currently</w:t>
      </w:r>
      <w:r w:rsidR="004F7EDF" w:rsidRPr="00F70199">
        <w:rPr>
          <w:sz w:val="20"/>
          <w:szCs w:val="20"/>
        </w:rPr>
        <w:t xml:space="preserve"> reviewing its electo</w:t>
      </w:r>
      <w:r w:rsidRPr="00F70199">
        <w:rPr>
          <w:sz w:val="20"/>
          <w:szCs w:val="20"/>
        </w:rPr>
        <w:t xml:space="preserve">ral system.  But the </w:t>
      </w:r>
      <w:r w:rsidRPr="00F70199">
        <w:rPr>
          <w:smallCaps/>
          <w:sz w:val="20"/>
          <w:szCs w:val="20"/>
        </w:rPr>
        <w:t>usa</w:t>
      </w:r>
      <w:r w:rsidR="00085AB4">
        <w:rPr>
          <w:sz w:val="20"/>
          <w:szCs w:val="20"/>
        </w:rPr>
        <w:t xml:space="preserve"> is </w:t>
      </w:r>
      <w:proofErr w:type="gramStart"/>
      <w:r w:rsidR="00085AB4">
        <w:rPr>
          <w:sz w:val="20"/>
          <w:szCs w:val="20"/>
        </w:rPr>
        <w:t>stuck,</w:t>
      </w:r>
      <w:proofErr w:type="gramEnd"/>
      <w:r w:rsidR="00085AB4">
        <w:rPr>
          <w:sz w:val="20"/>
          <w:szCs w:val="20"/>
        </w:rPr>
        <w:t xml:space="preserve"> it seems,</w:t>
      </w:r>
      <w:r w:rsidRPr="00F70199">
        <w:rPr>
          <w:sz w:val="20"/>
          <w:szCs w:val="20"/>
        </w:rPr>
        <w:t xml:space="preserve"> with this divisive </w:t>
      </w:r>
      <w:r w:rsidR="00F70199" w:rsidRPr="00F70199">
        <w:rPr>
          <w:sz w:val="20"/>
          <w:szCs w:val="20"/>
        </w:rPr>
        <w:t xml:space="preserve">and dangerous </w:t>
      </w:r>
      <w:r w:rsidRPr="00F70199">
        <w:rPr>
          <w:sz w:val="20"/>
          <w:szCs w:val="20"/>
        </w:rPr>
        <w:t xml:space="preserve">nonsense. </w:t>
      </w:r>
    </w:p>
    <w:p w14:paraId="75CA55E6" w14:textId="77777777" w:rsidR="004F7EDF" w:rsidRPr="00F70199" w:rsidRDefault="004F7EDF" w:rsidP="004F7EDF">
      <w:pPr>
        <w:rPr>
          <w:sz w:val="10"/>
          <w:szCs w:val="10"/>
        </w:rPr>
      </w:pPr>
    </w:p>
    <w:p w14:paraId="479F6A06" w14:textId="5C669B6C" w:rsidR="00AD7B50" w:rsidRPr="00F70199" w:rsidRDefault="00AD7B50">
      <w:pPr>
        <w:rPr>
          <w:sz w:val="20"/>
          <w:szCs w:val="20"/>
        </w:rPr>
      </w:pPr>
      <w:r w:rsidRPr="00F70199">
        <w:rPr>
          <w:sz w:val="20"/>
          <w:szCs w:val="20"/>
        </w:rPr>
        <w:t xml:space="preserve">In addition, they have the Electoral College.  </w:t>
      </w:r>
      <w:r w:rsidR="004F7EDF" w:rsidRPr="00F70199">
        <w:rPr>
          <w:sz w:val="20"/>
          <w:szCs w:val="20"/>
        </w:rPr>
        <w:t xml:space="preserve">With </w:t>
      </w:r>
      <w:r w:rsidRPr="00F70199">
        <w:rPr>
          <w:smallCaps/>
          <w:sz w:val="20"/>
          <w:szCs w:val="20"/>
        </w:rPr>
        <w:t>fptp</w:t>
      </w:r>
      <w:r w:rsidR="004F7EDF" w:rsidRPr="00F70199">
        <w:rPr>
          <w:sz w:val="20"/>
          <w:szCs w:val="20"/>
        </w:rPr>
        <w:t>,</w:t>
      </w:r>
      <w:r w:rsidRPr="00F70199">
        <w:rPr>
          <w:sz w:val="20"/>
          <w:szCs w:val="20"/>
        </w:rPr>
        <w:t xml:space="preserve"> you mi</w:t>
      </w:r>
      <w:r w:rsidR="009C5B0F" w:rsidRPr="00F70199">
        <w:rPr>
          <w:sz w:val="20"/>
          <w:szCs w:val="20"/>
        </w:rPr>
        <w:t xml:space="preserve">ght have a majority, you might </w:t>
      </w:r>
      <w:r w:rsidRPr="00F70199">
        <w:rPr>
          <w:sz w:val="20"/>
          <w:szCs w:val="20"/>
        </w:rPr>
        <w:t>have only the largest minority</w:t>
      </w:r>
      <w:r w:rsidR="009C5B0F" w:rsidRPr="00F70199">
        <w:rPr>
          <w:sz w:val="20"/>
          <w:szCs w:val="20"/>
        </w:rPr>
        <w:t xml:space="preserve">, </w:t>
      </w:r>
      <w:proofErr w:type="gramStart"/>
      <w:r w:rsidR="009C5B0F" w:rsidRPr="00F70199">
        <w:rPr>
          <w:sz w:val="20"/>
          <w:szCs w:val="20"/>
        </w:rPr>
        <w:t>you</w:t>
      </w:r>
      <w:proofErr w:type="gramEnd"/>
      <w:r w:rsidR="009C5B0F" w:rsidRPr="00F70199">
        <w:rPr>
          <w:sz w:val="20"/>
          <w:szCs w:val="20"/>
        </w:rPr>
        <w:t xml:space="preserve"> still win everything.  The College works on the same basis –</w:t>
      </w:r>
      <w:r w:rsidR="004F7EDF" w:rsidRPr="00F70199">
        <w:rPr>
          <w:sz w:val="20"/>
          <w:szCs w:val="20"/>
        </w:rPr>
        <w:t xml:space="preserve"> you win a State, </w:t>
      </w:r>
      <w:r w:rsidR="0004082D">
        <w:rPr>
          <w:sz w:val="20"/>
          <w:szCs w:val="20"/>
        </w:rPr>
        <w:t xml:space="preserve">even if by just a whisker, </w:t>
      </w:r>
      <w:r w:rsidR="004F7EDF" w:rsidRPr="00F70199">
        <w:rPr>
          <w:sz w:val="20"/>
          <w:szCs w:val="20"/>
        </w:rPr>
        <w:t>you get that</w:t>
      </w:r>
      <w:r w:rsidR="009C5B0F" w:rsidRPr="00F70199">
        <w:rPr>
          <w:sz w:val="20"/>
          <w:szCs w:val="20"/>
        </w:rPr>
        <w:t xml:space="preserve"> State’s entire quota – except in Maine and Nebraska, where they do it by districts.  As shown in Table 1, there were ten States in which the ‘winner’ did not get a majority.  If the ‘minority’ candidates had not stood, </w:t>
      </w:r>
      <w:r w:rsidR="002867C2">
        <w:rPr>
          <w:sz w:val="20"/>
          <w:szCs w:val="20"/>
        </w:rPr>
        <w:t xml:space="preserve">(if the figure in column </w:t>
      </w:r>
      <w:r w:rsidR="002867C2" w:rsidRPr="002867C2">
        <w:rPr>
          <w:b/>
          <w:sz w:val="20"/>
          <w:szCs w:val="20"/>
        </w:rPr>
        <w:t>C</w:t>
      </w:r>
      <w:r w:rsidR="002867C2">
        <w:rPr>
          <w:sz w:val="20"/>
          <w:szCs w:val="20"/>
        </w:rPr>
        <w:t xml:space="preserve"> is greater than the difference between </w:t>
      </w:r>
      <w:r w:rsidR="002867C2" w:rsidRPr="002867C2">
        <w:rPr>
          <w:b/>
          <w:sz w:val="20"/>
          <w:szCs w:val="20"/>
        </w:rPr>
        <w:t>A</w:t>
      </w:r>
      <w:r w:rsidR="002867C2">
        <w:rPr>
          <w:sz w:val="20"/>
          <w:szCs w:val="20"/>
        </w:rPr>
        <w:t xml:space="preserve"> and </w:t>
      </w:r>
      <w:r w:rsidR="002867C2" w:rsidRPr="002867C2">
        <w:rPr>
          <w:b/>
          <w:sz w:val="20"/>
          <w:szCs w:val="20"/>
        </w:rPr>
        <w:t>B</w:t>
      </w:r>
      <w:r w:rsidR="002867C2">
        <w:rPr>
          <w:sz w:val="20"/>
          <w:szCs w:val="20"/>
        </w:rPr>
        <w:t xml:space="preserve">), </w:t>
      </w:r>
      <w:r w:rsidR="009C5B0F" w:rsidRPr="00F70199">
        <w:rPr>
          <w:sz w:val="20"/>
          <w:szCs w:val="20"/>
        </w:rPr>
        <w:t xml:space="preserve">the result could have been reversed.  At most, Clinton could have won an additional 76 Electoral College seats, to give her a total of 308, whereas Trump’s would have fallen to 230.  </w:t>
      </w:r>
    </w:p>
    <w:p w14:paraId="6E4E4D84" w14:textId="77777777" w:rsidR="004F7EDF" w:rsidRPr="00F70199" w:rsidRDefault="004F7EDF" w:rsidP="004F7EDF">
      <w:pPr>
        <w:rPr>
          <w:sz w:val="10"/>
          <w:szCs w:val="10"/>
        </w:rPr>
      </w:pPr>
    </w:p>
    <w:p w14:paraId="0A15CA9C" w14:textId="6C69737A" w:rsidR="009C7994" w:rsidRPr="00F70199" w:rsidRDefault="004F7EDF" w:rsidP="004F7EDF">
      <w:pPr>
        <w:rPr>
          <w:b/>
          <w:bCs/>
          <w:sz w:val="20"/>
          <w:szCs w:val="20"/>
          <w:lang w:val="en-US"/>
        </w:rPr>
      </w:pPr>
      <w:r w:rsidRPr="00F70199">
        <w:rPr>
          <w:b/>
          <w:bCs/>
          <w:sz w:val="20"/>
          <w:szCs w:val="20"/>
          <w:lang w:val="en-US"/>
        </w:rPr>
        <w:t>Table I</w:t>
      </w:r>
      <w:r w:rsidR="00085AB4">
        <w:rPr>
          <w:b/>
          <w:bCs/>
          <w:sz w:val="20"/>
          <w:szCs w:val="20"/>
          <w:lang w:val="en-US"/>
        </w:rPr>
        <w:tab/>
      </w:r>
      <w:r w:rsidR="00085AB4">
        <w:rPr>
          <w:b/>
          <w:bCs/>
          <w:sz w:val="20"/>
          <w:szCs w:val="20"/>
          <w:lang w:val="en-US"/>
        </w:rPr>
        <w:tab/>
      </w:r>
      <w:r w:rsidR="00085AB4" w:rsidRPr="00085AB4">
        <w:rPr>
          <w:b/>
          <w:bCs/>
          <w:smallCaps/>
          <w:sz w:val="20"/>
          <w:szCs w:val="20"/>
          <w:lang w:val="en-US"/>
        </w:rPr>
        <w:t>States in the Balance</w:t>
      </w:r>
    </w:p>
    <w:p w14:paraId="010A80CB" w14:textId="77777777" w:rsidR="00571F0F" w:rsidRPr="00F70199" w:rsidRDefault="00571F0F" w:rsidP="009C79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8"/>
        <w:gridCol w:w="1079"/>
        <w:gridCol w:w="1080"/>
        <w:gridCol w:w="1043"/>
        <w:gridCol w:w="1117"/>
        <w:gridCol w:w="1079"/>
        <w:gridCol w:w="1074"/>
        <w:gridCol w:w="6"/>
        <w:gridCol w:w="1080"/>
        <w:gridCol w:w="1080"/>
      </w:tblGrid>
      <w:tr w:rsidR="004F7EDF" w:rsidRPr="00F70199" w14:paraId="3E96490D" w14:textId="77777777" w:rsidTr="00085AB4">
        <w:tc>
          <w:tcPr>
            <w:tcW w:w="1334" w:type="dxa"/>
            <w:gridSpan w:val="2"/>
            <w:vMerge w:val="restart"/>
          </w:tcPr>
          <w:p w14:paraId="58007A16" w14:textId="1C00EDC9" w:rsidR="004F7EDF" w:rsidRPr="00F70199" w:rsidRDefault="004F7EDF" w:rsidP="00252C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STATES</w:t>
            </w:r>
          </w:p>
          <w:p w14:paraId="4D420054" w14:textId="6AAEFEF9" w:rsidR="004F7EDF" w:rsidRPr="00F70199" w:rsidRDefault="004F7EDF" w:rsidP="00252C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IN THE</w:t>
            </w:r>
          </w:p>
          <w:p w14:paraId="0AFB8F1E" w14:textId="78136B1B" w:rsidR="004F7EDF" w:rsidRPr="00F70199" w:rsidRDefault="004F7EDF" w:rsidP="00252C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BALANCE</w:t>
            </w:r>
          </w:p>
        </w:tc>
        <w:tc>
          <w:tcPr>
            <w:tcW w:w="3202" w:type="dxa"/>
            <w:gridSpan w:val="3"/>
          </w:tcPr>
          <w:p w14:paraId="2DCDCB73" w14:textId="610EC1F9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70199">
              <w:rPr>
                <w:b/>
                <w:sz w:val="20"/>
                <w:szCs w:val="20"/>
                <w:lang w:val="en-US"/>
              </w:rPr>
              <w:t>Clinton</w:t>
            </w:r>
          </w:p>
        </w:tc>
        <w:tc>
          <w:tcPr>
            <w:tcW w:w="3270" w:type="dxa"/>
            <w:gridSpan w:val="3"/>
          </w:tcPr>
          <w:p w14:paraId="52B55F6E" w14:textId="0E34474D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70199">
              <w:rPr>
                <w:b/>
                <w:sz w:val="20"/>
                <w:szCs w:val="20"/>
                <w:lang w:val="en-US"/>
              </w:rPr>
              <w:t>Trump</w:t>
            </w:r>
          </w:p>
        </w:tc>
        <w:tc>
          <w:tcPr>
            <w:tcW w:w="2166" w:type="dxa"/>
            <w:gridSpan w:val="3"/>
          </w:tcPr>
          <w:p w14:paraId="0EECFF5C" w14:textId="06A00049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70199">
              <w:rPr>
                <w:b/>
                <w:sz w:val="20"/>
                <w:szCs w:val="20"/>
                <w:lang w:val="en-US"/>
              </w:rPr>
              <w:t>Others</w:t>
            </w:r>
          </w:p>
        </w:tc>
      </w:tr>
      <w:tr w:rsidR="004F7EDF" w:rsidRPr="00F70199" w14:paraId="5E608F18" w14:textId="77777777" w:rsidTr="00085AB4">
        <w:tc>
          <w:tcPr>
            <w:tcW w:w="1334" w:type="dxa"/>
            <w:gridSpan w:val="2"/>
            <w:vMerge/>
          </w:tcPr>
          <w:p w14:paraId="267D53F6" w14:textId="77777777" w:rsidR="004F7EDF" w:rsidRPr="00F70199" w:rsidRDefault="004F7EDF" w:rsidP="009C79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14:paraId="310ACED9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Votes</w:t>
            </w:r>
          </w:p>
        </w:tc>
        <w:tc>
          <w:tcPr>
            <w:tcW w:w="1080" w:type="dxa"/>
          </w:tcPr>
          <w:p w14:paraId="3F922DB1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70199">
              <w:rPr>
                <w:b/>
                <w:sz w:val="20"/>
                <w:szCs w:val="20"/>
                <w:lang w:val="en-US"/>
              </w:rPr>
              <w:t>A</w:t>
            </w:r>
          </w:p>
          <w:p w14:paraId="06AE2371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043" w:type="dxa"/>
          </w:tcPr>
          <w:p w14:paraId="2FCF6B7C" w14:textId="77777777" w:rsidR="004F7EDF" w:rsidRPr="00F70199" w:rsidRDefault="004F7EDF" w:rsidP="00252C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Electoral</w:t>
            </w:r>
          </w:p>
          <w:p w14:paraId="619259E6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College</w:t>
            </w:r>
          </w:p>
        </w:tc>
        <w:tc>
          <w:tcPr>
            <w:tcW w:w="1117" w:type="dxa"/>
          </w:tcPr>
          <w:p w14:paraId="468FC111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Votes</w:t>
            </w:r>
          </w:p>
        </w:tc>
        <w:tc>
          <w:tcPr>
            <w:tcW w:w="1079" w:type="dxa"/>
          </w:tcPr>
          <w:p w14:paraId="37315C2D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70199">
              <w:rPr>
                <w:b/>
                <w:sz w:val="20"/>
                <w:szCs w:val="20"/>
                <w:lang w:val="en-US"/>
              </w:rPr>
              <w:t>B</w:t>
            </w:r>
          </w:p>
          <w:p w14:paraId="13EE9454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080" w:type="dxa"/>
            <w:gridSpan w:val="2"/>
          </w:tcPr>
          <w:p w14:paraId="17F61DDE" w14:textId="77777777" w:rsidR="004F7EDF" w:rsidRPr="00F70199" w:rsidRDefault="004F7EDF" w:rsidP="00252C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Electoral</w:t>
            </w:r>
          </w:p>
          <w:p w14:paraId="42BD0440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College</w:t>
            </w:r>
          </w:p>
        </w:tc>
        <w:tc>
          <w:tcPr>
            <w:tcW w:w="1080" w:type="dxa"/>
          </w:tcPr>
          <w:p w14:paraId="6858EBC1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Votes</w:t>
            </w:r>
          </w:p>
        </w:tc>
        <w:tc>
          <w:tcPr>
            <w:tcW w:w="1080" w:type="dxa"/>
          </w:tcPr>
          <w:p w14:paraId="42502F8D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70199">
              <w:rPr>
                <w:b/>
                <w:sz w:val="20"/>
                <w:szCs w:val="20"/>
                <w:lang w:val="en-US"/>
              </w:rPr>
              <w:t>C</w:t>
            </w:r>
          </w:p>
          <w:p w14:paraId="36594985" w14:textId="77777777" w:rsidR="004F7EDF" w:rsidRPr="00F70199" w:rsidRDefault="004F7EDF" w:rsidP="00F913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%</w:t>
            </w:r>
          </w:p>
        </w:tc>
      </w:tr>
      <w:tr w:rsidR="004F7EDF" w:rsidRPr="00F70199" w14:paraId="6BF34728" w14:textId="77777777" w:rsidTr="00085AB4">
        <w:tc>
          <w:tcPr>
            <w:tcW w:w="1334" w:type="dxa"/>
            <w:gridSpan w:val="2"/>
            <w:vAlign w:val="center"/>
          </w:tcPr>
          <w:p w14:paraId="395E7751" w14:textId="193D194E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F70199">
              <w:rPr>
                <w:sz w:val="20"/>
                <w:szCs w:val="20"/>
                <w:lang w:val="en-US"/>
              </w:rPr>
              <w:t>Colarado</w:t>
            </w:r>
            <w:proofErr w:type="spellEnd"/>
          </w:p>
        </w:tc>
        <w:tc>
          <w:tcPr>
            <w:tcW w:w="1079" w:type="dxa"/>
            <w:vAlign w:val="center"/>
          </w:tcPr>
          <w:p w14:paraId="781431F8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1,199,971</w:t>
            </w:r>
          </w:p>
        </w:tc>
        <w:tc>
          <w:tcPr>
            <w:tcW w:w="1080" w:type="dxa"/>
            <w:vAlign w:val="center"/>
          </w:tcPr>
          <w:p w14:paraId="39CDE53D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47.14%</w:t>
            </w:r>
          </w:p>
        </w:tc>
        <w:tc>
          <w:tcPr>
            <w:tcW w:w="1043" w:type="dxa"/>
            <w:vAlign w:val="center"/>
          </w:tcPr>
          <w:p w14:paraId="2AE02F9A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17" w:type="dxa"/>
            <w:vAlign w:val="center"/>
          </w:tcPr>
          <w:p w14:paraId="758EE3A2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1,133,146</w:t>
            </w:r>
          </w:p>
        </w:tc>
        <w:tc>
          <w:tcPr>
            <w:tcW w:w="1079" w:type="dxa"/>
            <w:vAlign w:val="center"/>
          </w:tcPr>
          <w:p w14:paraId="05BFC301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44.52%</w:t>
            </w:r>
          </w:p>
        </w:tc>
        <w:tc>
          <w:tcPr>
            <w:tcW w:w="1080" w:type="dxa"/>
            <w:gridSpan w:val="2"/>
            <w:vAlign w:val="center"/>
          </w:tcPr>
          <w:p w14:paraId="28A8A84D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080" w:type="dxa"/>
            <w:vAlign w:val="center"/>
          </w:tcPr>
          <w:p w14:paraId="694D4885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187,388</w:t>
            </w:r>
          </w:p>
        </w:tc>
        <w:tc>
          <w:tcPr>
            <w:tcW w:w="1080" w:type="dxa"/>
            <w:vAlign w:val="center"/>
          </w:tcPr>
          <w:p w14:paraId="54E3F925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7.36%</w:t>
            </w:r>
          </w:p>
        </w:tc>
      </w:tr>
      <w:tr w:rsidR="004F7EDF" w:rsidRPr="00F70199" w14:paraId="132B5A3E" w14:textId="77777777" w:rsidTr="00085AB4">
        <w:tc>
          <w:tcPr>
            <w:tcW w:w="1334" w:type="dxa"/>
            <w:gridSpan w:val="2"/>
            <w:vAlign w:val="center"/>
          </w:tcPr>
          <w:p w14:paraId="6EFDC4B6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Florida</w:t>
            </w:r>
          </w:p>
        </w:tc>
        <w:tc>
          <w:tcPr>
            <w:tcW w:w="1079" w:type="dxa"/>
            <w:vAlign w:val="center"/>
          </w:tcPr>
          <w:p w14:paraId="18706BA3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4,487,657</w:t>
            </w:r>
          </w:p>
        </w:tc>
        <w:tc>
          <w:tcPr>
            <w:tcW w:w="1080" w:type="dxa"/>
            <w:vAlign w:val="center"/>
          </w:tcPr>
          <w:p w14:paraId="2BDE06E3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47.79%</w:t>
            </w:r>
          </w:p>
        </w:tc>
        <w:tc>
          <w:tcPr>
            <w:tcW w:w="1043" w:type="dxa"/>
            <w:vAlign w:val="center"/>
          </w:tcPr>
          <w:p w14:paraId="7FBAEE8E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17" w:type="dxa"/>
            <w:vAlign w:val="center"/>
          </w:tcPr>
          <w:p w14:paraId="415EB15A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4,607,146</w:t>
            </w:r>
          </w:p>
        </w:tc>
        <w:tc>
          <w:tcPr>
            <w:tcW w:w="1079" w:type="dxa"/>
            <w:vAlign w:val="center"/>
          </w:tcPr>
          <w:p w14:paraId="68C69598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49.06%</w:t>
            </w:r>
          </w:p>
        </w:tc>
        <w:tc>
          <w:tcPr>
            <w:tcW w:w="1080" w:type="dxa"/>
            <w:gridSpan w:val="2"/>
            <w:vAlign w:val="center"/>
          </w:tcPr>
          <w:p w14:paraId="2565E87F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14:paraId="519528C7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270,249</w:t>
            </w:r>
          </w:p>
        </w:tc>
        <w:tc>
          <w:tcPr>
            <w:tcW w:w="1080" w:type="dxa"/>
            <w:vAlign w:val="center"/>
          </w:tcPr>
          <w:p w14:paraId="624A2F8F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2.88%</w:t>
            </w:r>
          </w:p>
        </w:tc>
      </w:tr>
      <w:tr w:rsidR="004F7EDF" w:rsidRPr="00F70199" w14:paraId="73A1199B" w14:textId="77777777" w:rsidTr="00085AB4">
        <w:tc>
          <w:tcPr>
            <w:tcW w:w="1334" w:type="dxa"/>
            <w:gridSpan w:val="2"/>
            <w:vAlign w:val="center"/>
          </w:tcPr>
          <w:p w14:paraId="0131B3E6" w14:textId="36A300E6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Maine</w:t>
            </w:r>
          </w:p>
        </w:tc>
        <w:tc>
          <w:tcPr>
            <w:tcW w:w="1079" w:type="dxa"/>
            <w:vAlign w:val="center"/>
          </w:tcPr>
          <w:p w14:paraId="6ACF3AF2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352,156</w:t>
            </w:r>
          </w:p>
        </w:tc>
        <w:tc>
          <w:tcPr>
            <w:tcW w:w="1080" w:type="dxa"/>
            <w:vAlign w:val="center"/>
          </w:tcPr>
          <w:p w14:paraId="2B153F31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47.84%</w:t>
            </w:r>
          </w:p>
        </w:tc>
        <w:tc>
          <w:tcPr>
            <w:tcW w:w="1043" w:type="dxa"/>
            <w:vAlign w:val="center"/>
          </w:tcPr>
          <w:p w14:paraId="692601C1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7" w:type="dxa"/>
            <w:vAlign w:val="center"/>
          </w:tcPr>
          <w:p w14:paraId="721E49D6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332,418</w:t>
            </w:r>
          </w:p>
        </w:tc>
        <w:tc>
          <w:tcPr>
            <w:tcW w:w="1079" w:type="dxa"/>
            <w:vAlign w:val="center"/>
          </w:tcPr>
          <w:p w14:paraId="0F039932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45.16%</w:t>
            </w:r>
          </w:p>
        </w:tc>
        <w:tc>
          <w:tcPr>
            <w:tcW w:w="1080" w:type="dxa"/>
            <w:gridSpan w:val="2"/>
            <w:vAlign w:val="center"/>
          </w:tcPr>
          <w:p w14:paraId="1818CFC9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14:paraId="0AE8037A" w14:textId="161B5FB8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51,508</w:t>
            </w:r>
          </w:p>
        </w:tc>
        <w:tc>
          <w:tcPr>
            <w:tcW w:w="1080" w:type="dxa"/>
            <w:vAlign w:val="center"/>
          </w:tcPr>
          <w:p w14:paraId="01DA0E4E" w14:textId="6401775D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7.00%</w:t>
            </w:r>
          </w:p>
        </w:tc>
      </w:tr>
      <w:tr w:rsidR="004F7EDF" w:rsidRPr="00F70199" w14:paraId="412FF848" w14:textId="77777777" w:rsidTr="00085AB4">
        <w:tc>
          <w:tcPr>
            <w:tcW w:w="1334" w:type="dxa"/>
            <w:gridSpan w:val="2"/>
            <w:vAlign w:val="center"/>
          </w:tcPr>
          <w:p w14:paraId="0660446D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Michigan</w:t>
            </w:r>
          </w:p>
        </w:tc>
        <w:tc>
          <w:tcPr>
            <w:tcW w:w="1079" w:type="dxa"/>
            <w:vAlign w:val="center"/>
          </w:tcPr>
          <w:p w14:paraId="362DB97A" w14:textId="310EE4AE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2,264,807</w:t>
            </w:r>
          </w:p>
        </w:tc>
        <w:tc>
          <w:tcPr>
            <w:tcW w:w="1080" w:type="dxa"/>
            <w:vAlign w:val="center"/>
          </w:tcPr>
          <w:p w14:paraId="133159C9" w14:textId="5AAE6C33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47.33%</w:t>
            </w:r>
          </w:p>
        </w:tc>
        <w:tc>
          <w:tcPr>
            <w:tcW w:w="1043" w:type="dxa"/>
            <w:vAlign w:val="center"/>
          </w:tcPr>
          <w:p w14:paraId="674E2D0A" w14:textId="0C1175BE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17" w:type="dxa"/>
            <w:vAlign w:val="center"/>
          </w:tcPr>
          <w:p w14:paraId="3D22BB3D" w14:textId="3DCF97E1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2,277,914</w:t>
            </w:r>
          </w:p>
        </w:tc>
        <w:tc>
          <w:tcPr>
            <w:tcW w:w="1079" w:type="dxa"/>
            <w:vAlign w:val="center"/>
          </w:tcPr>
          <w:p w14:paraId="7875EE7F" w14:textId="578DC120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47.60%</w:t>
            </w:r>
          </w:p>
        </w:tc>
        <w:tc>
          <w:tcPr>
            <w:tcW w:w="1080" w:type="dxa"/>
            <w:gridSpan w:val="2"/>
            <w:vAlign w:val="center"/>
          </w:tcPr>
          <w:p w14:paraId="5F4B6815" w14:textId="77EB3191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80" w:type="dxa"/>
            <w:vAlign w:val="center"/>
          </w:tcPr>
          <w:p w14:paraId="6AE4E7D6" w14:textId="60C3A652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224,146</w:t>
            </w:r>
          </w:p>
        </w:tc>
        <w:tc>
          <w:tcPr>
            <w:tcW w:w="1080" w:type="dxa"/>
            <w:vAlign w:val="center"/>
          </w:tcPr>
          <w:p w14:paraId="6A9EE065" w14:textId="70F82A83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4.68%</w:t>
            </w:r>
          </w:p>
        </w:tc>
      </w:tr>
      <w:tr w:rsidR="004F7EDF" w:rsidRPr="00F70199" w14:paraId="6693FD98" w14:textId="77777777" w:rsidTr="00085AB4">
        <w:tc>
          <w:tcPr>
            <w:tcW w:w="1334" w:type="dxa"/>
            <w:gridSpan w:val="2"/>
            <w:vAlign w:val="center"/>
          </w:tcPr>
          <w:p w14:paraId="6854B300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Minnesota</w:t>
            </w:r>
          </w:p>
        </w:tc>
        <w:tc>
          <w:tcPr>
            <w:tcW w:w="1079" w:type="dxa"/>
            <w:vAlign w:val="center"/>
          </w:tcPr>
          <w:p w14:paraId="146406D5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1,364,067</w:t>
            </w:r>
          </w:p>
        </w:tc>
        <w:tc>
          <w:tcPr>
            <w:tcW w:w="1080" w:type="dxa"/>
            <w:vAlign w:val="center"/>
          </w:tcPr>
          <w:p w14:paraId="5C66C835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46.41%</w:t>
            </w:r>
          </w:p>
        </w:tc>
        <w:tc>
          <w:tcPr>
            <w:tcW w:w="1043" w:type="dxa"/>
            <w:vAlign w:val="center"/>
          </w:tcPr>
          <w:p w14:paraId="6E1B873F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17" w:type="dxa"/>
            <w:vAlign w:val="center"/>
          </w:tcPr>
          <w:p w14:paraId="31206E9A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1,321,120</w:t>
            </w:r>
          </w:p>
        </w:tc>
        <w:tc>
          <w:tcPr>
            <w:tcW w:w="1079" w:type="dxa"/>
            <w:vAlign w:val="center"/>
          </w:tcPr>
          <w:p w14:paraId="443FE762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44.95%</w:t>
            </w:r>
          </w:p>
        </w:tc>
        <w:tc>
          <w:tcPr>
            <w:tcW w:w="1080" w:type="dxa"/>
            <w:gridSpan w:val="2"/>
            <w:vAlign w:val="center"/>
          </w:tcPr>
          <w:p w14:paraId="629C617B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080" w:type="dxa"/>
            <w:vAlign w:val="center"/>
          </w:tcPr>
          <w:p w14:paraId="2454A572" w14:textId="0785C925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202,727</w:t>
            </w:r>
          </w:p>
        </w:tc>
        <w:tc>
          <w:tcPr>
            <w:tcW w:w="1080" w:type="dxa"/>
            <w:vAlign w:val="center"/>
          </w:tcPr>
          <w:p w14:paraId="5E5BC042" w14:textId="49468D9F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6.90%</w:t>
            </w:r>
          </w:p>
        </w:tc>
      </w:tr>
      <w:tr w:rsidR="004F7EDF" w:rsidRPr="00F70199" w14:paraId="01542259" w14:textId="77777777" w:rsidTr="00085AB4">
        <w:tc>
          <w:tcPr>
            <w:tcW w:w="1334" w:type="dxa"/>
            <w:gridSpan w:val="2"/>
            <w:vAlign w:val="center"/>
          </w:tcPr>
          <w:p w14:paraId="56749E4A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Nevada</w:t>
            </w:r>
          </w:p>
        </w:tc>
        <w:tc>
          <w:tcPr>
            <w:tcW w:w="1079" w:type="dxa"/>
            <w:vAlign w:val="center"/>
          </w:tcPr>
          <w:p w14:paraId="52E95BAB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537,753</w:t>
            </w:r>
          </w:p>
        </w:tc>
        <w:tc>
          <w:tcPr>
            <w:tcW w:w="1080" w:type="dxa"/>
            <w:vAlign w:val="center"/>
          </w:tcPr>
          <w:p w14:paraId="5D6E8058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47.89%</w:t>
            </w:r>
          </w:p>
        </w:tc>
        <w:tc>
          <w:tcPr>
            <w:tcW w:w="1043" w:type="dxa"/>
            <w:vAlign w:val="center"/>
          </w:tcPr>
          <w:p w14:paraId="733E85E9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17" w:type="dxa"/>
            <w:vAlign w:val="center"/>
          </w:tcPr>
          <w:p w14:paraId="40A42299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511,319</w:t>
            </w:r>
          </w:p>
        </w:tc>
        <w:tc>
          <w:tcPr>
            <w:tcW w:w="1079" w:type="dxa"/>
            <w:vAlign w:val="center"/>
          </w:tcPr>
          <w:p w14:paraId="73D0113C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45.53%</w:t>
            </w:r>
          </w:p>
        </w:tc>
        <w:tc>
          <w:tcPr>
            <w:tcW w:w="1080" w:type="dxa"/>
            <w:gridSpan w:val="2"/>
            <w:vAlign w:val="center"/>
          </w:tcPr>
          <w:p w14:paraId="103219D8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080" w:type="dxa"/>
            <w:vAlign w:val="center"/>
          </w:tcPr>
          <w:p w14:paraId="6D162E6F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37,299</w:t>
            </w:r>
          </w:p>
        </w:tc>
        <w:tc>
          <w:tcPr>
            <w:tcW w:w="1080" w:type="dxa"/>
            <w:vAlign w:val="center"/>
          </w:tcPr>
          <w:p w14:paraId="070056A8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3.32%</w:t>
            </w:r>
          </w:p>
        </w:tc>
      </w:tr>
      <w:tr w:rsidR="004F7EDF" w:rsidRPr="00F70199" w14:paraId="5B58A233" w14:textId="77777777" w:rsidTr="00085AB4">
        <w:tc>
          <w:tcPr>
            <w:tcW w:w="1334" w:type="dxa"/>
            <w:gridSpan w:val="2"/>
            <w:vAlign w:val="center"/>
          </w:tcPr>
          <w:p w14:paraId="13B66CF4" w14:textId="2D5C03D4" w:rsidR="004F7EDF" w:rsidRPr="00F70199" w:rsidRDefault="004F7EDF" w:rsidP="00F701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8" w:history="1">
              <w:r w:rsidR="00F70199" w:rsidRPr="00F70199">
                <w:rPr>
                  <w:sz w:val="20"/>
                  <w:szCs w:val="20"/>
                  <w:lang w:val="en-US"/>
                </w:rPr>
                <w:t>N Hampshire</w:t>
              </w:r>
            </w:hyperlink>
          </w:p>
        </w:tc>
        <w:tc>
          <w:tcPr>
            <w:tcW w:w="1079" w:type="dxa"/>
            <w:vAlign w:val="center"/>
          </w:tcPr>
          <w:p w14:paraId="587E7E18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348,497</w:t>
            </w:r>
          </w:p>
        </w:tc>
        <w:tc>
          <w:tcPr>
            <w:tcW w:w="1080" w:type="dxa"/>
            <w:vAlign w:val="center"/>
          </w:tcPr>
          <w:p w14:paraId="07B83F91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47.62%</w:t>
            </w:r>
          </w:p>
        </w:tc>
        <w:tc>
          <w:tcPr>
            <w:tcW w:w="1043" w:type="dxa"/>
            <w:vAlign w:val="center"/>
          </w:tcPr>
          <w:p w14:paraId="426B5B91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7" w:type="dxa"/>
            <w:vAlign w:val="center"/>
          </w:tcPr>
          <w:p w14:paraId="2BA4A4DD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345,810</w:t>
            </w:r>
          </w:p>
        </w:tc>
        <w:tc>
          <w:tcPr>
            <w:tcW w:w="1079" w:type="dxa"/>
            <w:vAlign w:val="center"/>
          </w:tcPr>
          <w:p w14:paraId="66558E4C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47.25%</w:t>
            </w:r>
          </w:p>
        </w:tc>
        <w:tc>
          <w:tcPr>
            <w:tcW w:w="1080" w:type="dxa"/>
            <w:gridSpan w:val="2"/>
            <w:vAlign w:val="center"/>
          </w:tcPr>
          <w:p w14:paraId="7B40D58B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080" w:type="dxa"/>
            <w:vAlign w:val="center"/>
          </w:tcPr>
          <w:p w14:paraId="014D30D5" w14:textId="08E8F8D0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36,861</w:t>
            </w:r>
          </w:p>
        </w:tc>
        <w:tc>
          <w:tcPr>
            <w:tcW w:w="1080" w:type="dxa"/>
            <w:vAlign w:val="center"/>
          </w:tcPr>
          <w:p w14:paraId="09570E42" w14:textId="034EC9FB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5.04%</w:t>
            </w:r>
          </w:p>
        </w:tc>
      </w:tr>
      <w:tr w:rsidR="004F7EDF" w:rsidRPr="00F70199" w14:paraId="76658539" w14:textId="77777777" w:rsidTr="00085AB4">
        <w:tc>
          <w:tcPr>
            <w:tcW w:w="1334" w:type="dxa"/>
            <w:gridSpan w:val="2"/>
            <w:vAlign w:val="center"/>
          </w:tcPr>
          <w:p w14:paraId="72535883" w14:textId="36AC5A7C" w:rsidR="004F7EDF" w:rsidRPr="00F70199" w:rsidRDefault="00F70199" w:rsidP="00571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New Mexico</w:t>
            </w:r>
          </w:p>
        </w:tc>
        <w:tc>
          <w:tcPr>
            <w:tcW w:w="1079" w:type="dxa"/>
            <w:vAlign w:val="center"/>
          </w:tcPr>
          <w:p w14:paraId="02779F91" w14:textId="5DB70342" w:rsidR="004F7EDF" w:rsidRPr="00F70199" w:rsidRDefault="00F70199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32EC6">
              <w:rPr>
                <w:color w:val="1C1C1C"/>
                <w:sz w:val="20"/>
                <w:szCs w:val="20"/>
                <w:lang w:val="en-US"/>
              </w:rPr>
              <w:t>380,923</w:t>
            </w:r>
          </w:p>
        </w:tc>
        <w:tc>
          <w:tcPr>
            <w:tcW w:w="1080" w:type="dxa"/>
            <w:vAlign w:val="center"/>
          </w:tcPr>
          <w:p w14:paraId="42312876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48.26%</w:t>
            </w:r>
          </w:p>
        </w:tc>
        <w:tc>
          <w:tcPr>
            <w:tcW w:w="1043" w:type="dxa"/>
            <w:vAlign w:val="center"/>
          </w:tcPr>
          <w:p w14:paraId="72EA05D7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17" w:type="dxa"/>
            <w:vAlign w:val="center"/>
          </w:tcPr>
          <w:p w14:paraId="16EF0B2F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316,134</w:t>
            </w:r>
          </w:p>
        </w:tc>
        <w:tc>
          <w:tcPr>
            <w:tcW w:w="1079" w:type="dxa"/>
            <w:vAlign w:val="center"/>
          </w:tcPr>
          <w:p w14:paraId="6B8CCA23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40.05%</w:t>
            </w:r>
          </w:p>
        </w:tc>
        <w:tc>
          <w:tcPr>
            <w:tcW w:w="1080" w:type="dxa"/>
            <w:gridSpan w:val="2"/>
            <w:vAlign w:val="center"/>
          </w:tcPr>
          <w:p w14:paraId="1333862C" w14:textId="77777777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080" w:type="dxa"/>
            <w:vAlign w:val="center"/>
          </w:tcPr>
          <w:p w14:paraId="3AAEF75D" w14:textId="293F3F81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89,174</w:t>
            </w:r>
          </w:p>
        </w:tc>
        <w:tc>
          <w:tcPr>
            <w:tcW w:w="1080" w:type="dxa"/>
            <w:vAlign w:val="center"/>
          </w:tcPr>
          <w:p w14:paraId="65547928" w14:textId="4D729AB1" w:rsidR="004F7EDF" w:rsidRPr="00F70199" w:rsidRDefault="004F7EDF" w:rsidP="005773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11.29%</w:t>
            </w:r>
          </w:p>
        </w:tc>
      </w:tr>
      <w:tr w:rsidR="004F7EDF" w:rsidRPr="00F70199" w14:paraId="31149DE5" w14:textId="77777777" w:rsidTr="00085AB4">
        <w:tc>
          <w:tcPr>
            <w:tcW w:w="1334" w:type="dxa"/>
            <w:gridSpan w:val="2"/>
          </w:tcPr>
          <w:p w14:paraId="2FB4E3B4" w14:textId="77777777" w:rsidR="004F7EDF" w:rsidRPr="00F70199" w:rsidRDefault="004F7EDF" w:rsidP="009C79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Pennsylvania</w:t>
            </w:r>
          </w:p>
        </w:tc>
        <w:tc>
          <w:tcPr>
            <w:tcW w:w="1079" w:type="dxa"/>
            <w:vAlign w:val="center"/>
          </w:tcPr>
          <w:p w14:paraId="49903DF1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2,817,409</w:t>
            </w:r>
          </w:p>
        </w:tc>
        <w:tc>
          <w:tcPr>
            <w:tcW w:w="1080" w:type="dxa"/>
            <w:vAlign w:val="center"/>
          </w:tcPr>
          <w:p w14:paraId="3DA52051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47.60%</w:t>
            </w:r>
          </w:p>
        </w:tc>
        <w:tc>
          <w:tcPr>
            <w:tcW w:w="1043" w:type="dxa"/>
            <w:vAlign w:val="center"/>
          </w:tcPr>
          <w:p w14:paraId="02D58E22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17" w:type="dxa"/>
            <w:vAlign w:val="center"/>
          </w:tcPr>
          <w:p w14:paraId="55BA657F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2,890,633</w:t>
            </w:r>
          </w:p>
        </w:tc>
        <w:tc>
          <w:tcPr>
            <w:tcW w:w="1079" w:type="dxa"/>
            <w:vAlign w:val="center"/>
          </w:tcPr>
          <w:p w14:paraId="6AD4AD5A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48.84%</w:t>
            </w:r>
          </w:p>
        </w:tc>
        <w:tc>
          <w:tcPr>
            <w:tcW w:w="1080" w:type="dxa"/>
            <w:gridSpan w:val="2"/>
            <w:vAlign w:val="center"/>
          </w:tcPr>
          <w:p w14:paraId="7C0B3BF8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80" w:type="dxa"/>
            <w:vAlign w:val="center"/>
          </w:tcPr>
          <w:p w14:paraId="5608970C" w14:textId="3F26708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190,064</w:t>
            </w:r>
          </w:p>
        </w:tc>
        <w:tc>
          <w:tcPr>
            <w:tcW w:w="1080" w:type="dxa"/>
            <w:vAlign w:val="center"/>
          </w:tcPr>
          <w:p w14:paraId="22978E3D" w14:textId="470C9E23" w:rsidR="004F7EDF" w:rsidRPr="00F70199" w:rsidRDefault="004F7EDF" w:rsidP="00F9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 xml:space="preserve"> 3.21%</w:t>
            </w:r>
          </w:p>
        </w:tc>
      </w:tr>
      <w:tr w:rsidR="004F7EDF" w:rsidRPr="00F70199" w14:paraId="54CB90E3" w14:textId="77777777" w:rsidTr="00085AB4">
        <w:tc>
          <w:tcPr>
            <w:tcW w:w="1334" w:type="dxa"/>
            <w:gridSpan w:val="2"/>
          </w:tcPr>
          <w:p w14:paraId="7EFA1CE0" w14:textId="77777777" w:rsidR="004F7EDF" w:rsidRPr="00F70199" w:rsidRDefault="004F7EDF" w:rsidP="009C79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Wisconsin</w:t>
            </w:r>
          </w:p>
        </w:tc>
        <w:tc>
          <w:tcPr>
            <w:tcW w:w="1079" w:type="dxa"/>
            <w:vAlign w:val="center"/>
          </w:tcPr>
          <w:p w14:paraId="5C32B08A" w14:textId="05AE94F3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1,383,926</w:t>
            </w:r>
          </w:p>
        </w:tc>
        <w:tc>
          <w:tcPr>
            <w:tcW w:w="1080" w:type="dxa"/>
            <w:vAlign w:val="center"/>
          </w:tcPr>
          <w:p w14:paraId="1FAB7F04" w14:textId="0B18A120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46.94%</w:t>
            </w:r>
          </w:p>
        </w:tc>
        <w:tc>
          <w:tcPr>
            <w:tcW w:w="1043" w:type="dxa"/>
            <w:vAlign w:val="center"/>
          </w:tcPr>
          <w:p w14:paraId="113490FA" w14:textId="0EEC1270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1117" w:type="dxa"/>
            <w:vAlign w:val="center"/>
          </w:tcPr>
          <w:p w14:paraId="28AA761A" w14:textId="4495E244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1,411,432</w:t>
            </w:r>
          </w:p>
        </w:tc>
        <w:tc>
          <w:tcPr>
            <w:tcW w:w="1079" w:type="dxa"/>
            <w:vAlign w:val="center"/>
          </w:tcPr>
          <w:p w14:paraId="2E818E86" w14:textId="7C512801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47.87%</w:t>
            </w:r>
          </w:p>
        </w:tc>
        <w:tc>
          <w:tcPr>
            <w:tcW w:w="1080" w:type="dxa"/>
            <w:gridSpan w:val="2"/>
            <w:vAlign w:val="center"/>
          </w:tcPr>
          <w:p w14:paraId="3B4584AB" w14:textId="3DD404C5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14:paraId="74FF73BA" w14:textId="7A995F1C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137,391</w:t>
            </w:r>
          </w:p>
        </w:tc>
        <w:tc>
          <w:tcPr>
            <w:tcW w:w="1080" w:type="dxa"/>
            <w:vAlign w:val="center"/>
          </w:tcPr>
          <w:p w14:paraId="07079E16" w14:textId="5AC84778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4.66%</w:t>
            </w:r>
          </w:p>
        </w:tc>
      </w:tr>
      <w:tr w:rsidR="004F7EDF" w:rsidRPr="00F70199" w14:paraId="35196DCC" w14:textId="77777777" w:rsidTr="00085AB4">
        <w:tc>
          <w:tcPr>
            <w:tcW w:w="3493" w:type="dxa"/>
            <w:gridSpan w:val="4"/>
          </w:tcPr>
          <w:p w14:paraId="4752925A" w14:textId="3808E9A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Total Electoral College seats =</w:t>
            </w:r>
          </w:p>
        </w:tc>
        <w:tc>
          <w:tcPr>
            <w:tcW w:w="1043" w:type="dxa"/>
            <w:vAlign w:val="center"/>
          </w:tcPr>
          <w:p w14:paraId="45C56E19" w14:textId="2B95EC13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196" w:type="dxa"/>
            <w:gridSpan w:val="2"/>
            <w:shd w:val="clear" w:color="auto" w:fill="000000" w:themeFill="text1"/>
            <w:vAlign w:val="center"/>
          </w:tcPr>
          <w:p w14:paraId="01125BA8" w14:textId="1ACE29F5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852DAFA" w14:textId="318E5AE3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5DA78355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7E66495D" w14:textId="722C6415" w:rsidR="004F7EDF" w:rsidRPr="00F70199" w:rsidRDefault="0004082D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F7EDF" w:rsidRPr="00F70199" w14:paraId="77375C00" w14:textId="77777777" w:rsidTr="00085AB4">
        <w:tc>
          <w:tcPr>
            <w:tcW w:w="1276" w:type="dxa"/>
          </w:tcPr>
          <w:p w14:paraId="1CD83C87" w14:textId="21D15C78" w:rsidR="004F7EDF" w:rsidRPr="00F70199" w:rsidRDefault="004F7EDF" w:rsidP="009C79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TOTALS</w:t>
            </w:r>
          </w:p>
        </w:tc>
        <w:tc>
          <w:tcPr>
            <w:tcW w:w="1137" w:type="dxa"/>
            <w:gridSpan w:val="2"/>
            <w:vAlign w:val="center"/>
          </w:tcPr>
          <w:p w14:paraId="5914CF94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F70199">
              <w:rPr>
                <w:bCs/>
                <w:sz w:val="20"/>
                <w:szCs w:val="20"/>
                <w:lang w:val="en-US"/>
              </w:rPr>
              <w:t>60,017,405</w:t>
            </w:r>
          </w:p>
          <w:p w14:paraId="2E96D8DE" w14:textId="26886186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bCs/>
                <w:sz w:val="20"/>
                <w:szCs w:val="20"/>
                <w:lang w:val="en-US"/>
              </w:rPr>
              <w:t>= 47.80%</w:t>
            </w:r>
          </w:p>
        </w:tc>
        <w:tc>
          <w:tcPr>
            <w:tcW w:w="1080" w:type="dxa"/>
            <w:vAlign w:val="center"/>
          </w:tcPr>
          <w:p w14:paraId="6C0A7D9C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vAlign w:val="center"/>
          </w:tcPr>
          <w:p w14:paraId="68D4C0B2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232</w:t>
            </w:r>
          </w:p>
          <w:p w14:paraId="6981B604" w14:textId="44F14FDF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= 43.1%</w:t>
            </w:r>
          </w:p>
        </w:tc>
        <w:tc>
          <w:tcPr>
            <w:tcW w:w="1117" w:type="dxa"/>
            <w:vAlign w:val="center"/>
          </w:tcPr>
          <w:p w14:paraId="61DBADE1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 w:rsidRPr="00F70199">
              <w:rPr>
                <w:bCs/>
                <w:sz w:val="20"/>
                <w:szCs w:val="20"/>
                <w:lang w:val="en-US"/>
              </w:rPr>
              <w:t>59,772,837</w:t>
            </w:r>
          </w:p>
          <w:p w14:paraId="3030AA78" w14:textId="27A0F010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bCs/>
                <w:sz w:val="20"/>
                <w:szCs w:val="20"/>
                <w:lang w:val="en-US"/>
              </w:rPr>
              <w:t>= 47.61%</w:t>
            </w:r>
          </w:p>
        </w:tc>
        <w:tc>
          <w:tcPr>
            <w:tcW w:w="1079" w:type="dxa"/>
            <w:vAlign w:val="center"/>
          </w:tcPr>
          <w:p w14:paraId="56089077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891E45E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306</w:t>
            </w:r>
          </w:p>
          <w:p w14:paraId="219AFB07" w14:textId="728E8D9D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 xml:space="preserve"> = 56.9% </w:t>
            </w:r>
          </w:p>
        </w:tc>
        <w:tc>
          <w:tcPr>
            <w:tcW w:w="1080" w:type="dxa"/>
            <w:vAlign w:val="center"/>
          </w:tcPr>
          <w:p w14:paraId="7D70EE4B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5,758,719</w:t>
            </w:r>
          </w:p>
          <w:p w14:paraId="519CEE32" w14:textId="40D64015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F70199">
              <w:rPr>
                <w:sz w:val="20"/>
                <w:szCs w:val="20"/>
                <w:lang w:val="en-US"/>
              </w:rPr>
              <w:t>= 4.59%</w:t>
            </w:r>
          </w:p>
        </w:tc>
        <w:tc>
          <w:tcPr>
            <w:tcW w:w="1080" w:type="dxa"/>
            <w:vAlign w:val="center"/>
          </w:tcPr>
          <w:p w14:paraId="0C6AC5EA" w14:textId="77777777" w:rsidR="004F7EDF" w:rsidRPr="00F70199" w:rsidRDefault="004F7EDF" w:rsidP="00571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14:paraId="20823FD7" w14:textId="77777777" w:rsidR="00571F0F" w:rsidRPr="00F70199" w:rsidRDefault="00571F0F" w:rsidP="009C79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  <w:lang w:val="en-US"/>
        </w:rPr>
      </w:pPr>
    </w:p>
    <w:p w14:paraId="46BA5BF2" w14:textId="305254B5" w:rsidR="004F7EDF" w:rsidRPr="00F70199" w:rsidRDefault="00F70199" w:rsidP="004F7EDF">
      <w:pPr>
        <w:rPr>
          <w:sz w:val="20"/>
          <w:szCs w:val="20"/>
        </w:rPr>
      </w:pPr>
      <w:r w:rsidRPr="00F70199">
        <w:rPr>
          <w:sz w:val="20"/>
          <w:szCs w:val="20"/>
          <w:lang w:val="en-US"/>
        </w:rPr>
        <w:t xml:space="preserve">Of the three other candidates, the </w:t>
      </w:r>
      <w:r w:rsidRPr="00F70199">
        <w:rPr>
          <w:sz w:val="20"/>
          <w:szCs w:val="20"/>
        </w:rPr>
        <w:t>Libertarian</w:t>
      </w:r>
      <w:r w:rsidRPr="00F70199">
        <w:rPr>
          <w:sz w:val="20"/>
          <w:szCs w:val="20"/>
        </w:rPr>
        <w:tab/>
        <w:t xml:space="preserve"> got </w:t>
      </w:r>
      <w:r w:rsidR="004F7EDF" w:rsidRPr="00F70199">
        <w:rPr>
          <w:bCs/>
          <w:sz w:val="20"/>
          <w:szCs w:val="20"/>
          <w:lang w:val="en-US"/>
        </w:rPr>
        <w:t>4,084,355</w:t>
      </w:r>
      <w:r w:rsidR="0004082D">
        <w:rPr>
          <w:bCs/>
          <w:sz w:val="20"/>
          <w:szCs w:val="20"/>
          <w:lang w:val="en-US"/>
        </w:rPr>
        <w:t xml:space="preserve"> votes;</w:t>
      </w:r>
      <w:r w:rsidRPr="00F70199">
        <w:rPr>
          <w:bCs/>
          <w:sz w:val="20"/>
          <w:szCs w:val="20"/>
          <w:lang w:val="en-US"/>
        </w:rPr>
        <w:t xml:space="preserve"> the Green </w:t>
      </w:r>
      <w:r w:rsidR="004F7EDF" w:rsidRPr="00F70199">
        <w:rPr>
          <w:bCs/>
          <w:sz w:val="20"/>
          <w:szCs w:val="20"/>
          <w:lang w:val="en-US"/>
        </w:rPr>
        <w:t>1,225,174</w:t>
      </w:r>
      <w:proofErr w:type="gramStart"/>
      <w:r w:rsidR="0004082D">
        <w:rPr>
          <w:bCs/>
          <w:sz w:val="20"/>
          <w:szCs w:val="20"/>
          <w:lang w:val="en-US"/>
        </w:rPr>
        <w:t>;</w:t>
      </w:r>
      <w:proofErr w:type="gramEnd"/>
      <w:r w:rsidRPr="00F70199">
        <w:rPr>
          <w:bCs/>
          <w:sz w:val="20"/>
          <w:szCs w:val="20"/>
          <w:lang w:val="en-US"/>
        </w:rPr>
        <w:t xml:space="preserve"> and the Independent </w:t>
      </w:r>
      <w:r w:rsidR="004F7EDF" w:rsidRPr="00F70199">
        <w:rPr>
          <w:bCs/>
          <w:sz w:val="20"/>
          <w:szCs w:val="20"/>
          <w:lang w:val="en-US"/>
        </w:rPr>
        <w:t>449,190</w:t>
      </w:r>
      <w:r w:rsidRPr="00F70199">
        <w:rPr>
          <w:bCs/>
          <w:sz w:val="20"/>
          <w:szCs w:val="20"/>
          <w:lang w:val="en-US"/>
        </w:rPr>
        <w:t>.</w:t>
      </w:r>
      <w:r w:rsidR="0004082D">
        <w:rPr>
          <w:bCs/>
          <w:sz w:val="20"/>
          <w:szCs w:val="20"/>
          <w:lang w:val="en-US"/>
        </w:rPr>
        <w:t xml:space="preserve">  Were they silly to stand?</w:t>
      </w:r>
    </w:p>
    <w:p w14:paraId="766635F7" w14:textId="77777777" w:rsidR="004F7EDF" w:rsidRPr="00F70199" w:rsidRDefault="004F7EDF" w:rsidP="004F7EDF">
      <w:pPr>
        <w:rPr>
          <w:bCs/>
          <w:sz w:val="20"/>
          <w:szCs w:val="20"/>
          <w:lang w:val="en-US"/>
        </w:rPr>
      </w:pPr>
    </w:p>
    <w:p w14:paraId="6F2C108F" w14:textId="60D80B22" w:rsidR="00F70199" w:rsidRDefault="00F70199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bCs/>
          <w:smallCaps/>
          <w:sz w:val="20"/>
          <w:szCs w:val="20"/>
          <w:lang w:val="en-US"/>
        </w:rPr>
      </w:pPr>
      <w:r w:rsidRPr="00F70199">
        <w:rPr>
          <w:b/>
          <w:bCs/>
          <w:smallCaps/>
          <w:sz w:val="20"/>
          <w:szCs w:val="20"/>
          <w:lang w:val="en-US"/>
        </w:rPr>
        <w:t>Conclusion</w:t>
      </w:r>
      <w:r>
        <w:rPr>
          <w:b/>
          <w:bCs/>
          <w:smallCaps/>
          <w:sz w:val="20"/>
          <w:szCs w:val="20"/>
          <w:lang w:val="en-US"/>
        </w:rPr>
        <w:t xml:space="preserve"> </w:t>
      </w:r>
    </w:p>
    <w:p w14:paraId="5C5BBA51" w14:textId="77777777" w:rsidR="00F70199" w:rsidRPr="00F70199" w:rsidRDefault="00F70199" w:rsidP="00F70199">
      <w:pPr>
        <w:rPr>
          <w:sz w:val="10"/>
          <w:szCs w:val="10"/>
        </w:rPr>
      </w:pPr>
    </w:p>
    <w:p w14:paraId="52EF9FBF" w14:textId="2E1252B8" w:rsidR="00F70199" w:rsidRDefault="00F70199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 w:rsidRPr="00F70199">
        <w:rPr>
          <w:bCs/>
          <w:sz w:val="20"/>
          <w:szCs w:val="20"/>
          <w:lang w:val="en-US"/>
        </w:rPr>
        <w:t xml:space="preserve">It is </w:t>
      </w:r>
      <w:r>
        <w:rPr>
          <w:bCs/>
          <w:sz w:val="20"/>
          <w:szCs w:val="20"/>
          <w:lang w:val="en-US"/>
        </w:rPr>
        <w:t xml:space="preserve">indeed </w:t>
      </w:r>
      <w:r w:rsidRPr="00F70199">
        <w:rPr>
          <w:bCs/>
          <w:sz w:val="20"/>
          <w:szCs w:val="20"/>
          <w:lang w:val="en-US"/>
        </w:rPr>
        <w:t>a silly system.</w:t>
      </w:r>
      <w:r>
        <w:rPr>
          <w:bCs/>
          <w:sz w:val="20"/>
          <w:szCs w:val="20"/>
          <w:lang w:val="en-US"/>
        </w:rPr>
        <w:t xml:space="preserve">  It is hoped that this paper will help to prompt changes, not only in the </w:t>
      </w:r>
      <w:r w:rsidRPr="0004082D">
        <w:rPr>
          <w:bCs/>
          <w:smallCaps/>
          <w:sz w:val="20"/>
          <w:szCs w:val="20"/>
          <w:lang w:val="en-US"/>
        </w:rPr>
        <w:t>us</w:t>
      </w:r>
      <w:r>
        <w:rPr>
          <w:bCs/>
          <w:sz w:val="20"/>
          <w:szCs w:val="20"/>
          <w:lang w:val="en-US"/>
        </w:rPr>
        <w:t xml:space="preserve"> presidential electoral system, but also in decision-making in Congress.</w:t>
      </w:r>
    </w:p>
    <w:p w14:paraId="4607A358" w14:textId="77777777" w:rsidR="00F70199" w:rsidRDefault="00F70199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14:paraId="103E9945" w14:textId="77777777" w:rsidR="002867C2" w:rsidRDefault="002867C2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14:paraId="5F5E1641" w14:textId="77777777" w:rsidR="002867C2" w:rsidRDefault="002867C2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14:paraId="0FFC17F7" w14:textId="3206181B" w:rsidR="00F70199" w:rsidRDefault="00F70199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Peter Emerson</w:t>
      </w:r>
      <w:bookmarkStart w:id="0" w:name="_GoBack"/>
      <w:bookmarkEnd w:id="0"/>
    </w:p>
    <w:p w14:paraId="55301E45" w14:textId="5047A0BF" w:rsidR="00F70199" w:rsidRDefault="00F70199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The de Borda Institute, </w:t>
      </w:r>
      <w:hyperlink r:id="rId9" w:history="1">
        <w:r w:rsidR="0004082D" w:rsidRPr="00042237">
          <w:rPr>
            <w:rStyle w:val="Hyperlink"/>
            <w:bCs/>
            <w:sz w:val="20"/>
            <w:szCs w:val="20"/>
            <w:lang w:val="en-US"/>
          </w:rPr>
          <w:t>www.deborda.org</w:t>
        </w:r>
      </w:hyperlink>
    </w:p>
    <w:p w14:paraId="6591D002" w14:textId="66EEA357" w:rsidR="0004082D" w:rsidRPr="00F70199" w:rsidRDefault="0004082D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Belfast 11.11.2016</w:t>
      </w:r>
    </w:p>
    <w:sectPr w:rsidR="0004082D" w:rsidRPr="00F70199" w:rsidSect="00085AB4">
      <w:pgSz w:w="11906" w:h="16838"/>
      <w:pgMar w:top="964" w:right="102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B3F24" w14:textId="77777777" w:rsidR="00085AB4" w:rsidRDefault="00085AB4" w:rsidP="00AD7B50">
      <w:r>
        <w:separator/>
      </w:r>
    </w:p>
  </w:endnote>
  <w:endnote w:type="continuationSeparator" w:id="0">
    <w:p w14:paraId="0A52093B" w14:textId="77777777" w:rsidR="00085AB4" w:rsidRDefault="00085AB4" w:rsidP="00AD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A3E19" w14:textId="77777777" w:rsidR="00085AB4" w:rsidRDefault="00085AB4" w:rsidP="00AD7B50">
      <w:r>
        <w:separator/>
      </w:r>
    </w:p>
  </w:footnote>
  <w:footnote w:type="continuationSeparator" w:id="0">
    <w:p w14:paraId="6840A6E6" w14:textId="77777777" w:rsidR="00085AB4" w:rsidRDefault="00085AB4" w:rsidP="00AD7B50">
      <w:r>
        <w:continuationSeparator/>
      </w:r>
    </w:p>
  </w:footnote>
  <w:footnote w:id="1">
    <w:p w14:paraId="4FDF21C7" w14:textId="34D16009" w:rsidR="00085AB4" w:rsidRDefault="00085AB4">
      <w:pPr>
        <w:pStyle w:val="FootnoteText"/>
        <w:rPr>
          <w:sz w:val="16"/>
          <w:szCs w:val="16"/>
          <w:lang w:val="en-US"/>
        </w:rPr>
      </w:pPr>
      <w:r w:rsidRPr="00AD7B50">
        <w:rPr>
          <w:rStyle w:val="FootnoteReference"/>
          <w:sz w:val="20"/>
          <w:szCs w:val="20"/>
        </w:rPr>
        <w:footnoteRef/>
      </w:r>
      <w:r w:rsidRPr="00AD7B50">
        <w:rPr>
          <w:sz w:val="20"/>
          <w:szCs w:val="20"/>
        </w:rPr>
        <w:t xml:space="preserve"> </w:t>
      </w:r>
      <w:r w:rsidRPr="00AD7B50">
        <w:rPr>
          <w:sz w:val="20"/>
          <w:szCs w:val="20"/>
          <w:lang w:val="en-US"/>
        </w:rPr>
        <w:tab/>
      </w:r>
      <w:r w:rsidRPr="002867C2">
        <w:rPr>
          <w:sz w:val="16"/>
          <w:szCs w:val="16"/>
          <w:lang w:val="en-US"/>
        </w:rPr>
        <w:t>George Washington in his farewell address of 1796.</w:t>
      </w:r>
    </w:p>
    <w:p w14:paraId="3788A56A" w14:textId="77777777" w:rsidR="002867C2" w:rsidRPr="002867C2" w:rsidRDefault="002867C2">
      <w:pPr>
        <w:pStyle w:val="FootnoteText"/>
        <w:rPr>
          <w:sz w:val="12"/>
          <w:szCs w:val="12"/>
          <w:lang w:val="en-US"/>
        </w:rPr>
      </w:pPr>
    </w:p>
  </w:footnote>
  <w:footnote w:id="2">
    <w:p w14:paraId="6DC3DA4B" w14:textId="369CB4D0" w:rsidR="002867C2" w:rsidRPr="002867C2" w:rsidRDefault="002867C2">
      <w:pPr>
        <w:pStyle w:val="FootnoteText"/>
        <w:rPr>
          <w:sz w:val="16"/>
          <w:szCs w:val="16"/>
          <w:lang w:val="en-US"/>
        </w:rPr>
      </w:pPr>
      <w:r w:rsidRPr="002867C2">
        <w:rPr>
          <w:rStyle w:val="FootnoteReference"/>
          <w:sz w:val="16"/>
          <w:szCs w:val="16"/>
        </w:rPr>
        <w:footnoteRef/>
      </w:r>
      <w:r w:rsidRPr="002867C2">
        <w:rPr>
          <w:sz w:val="16"/>
          <w:szCs w:val="16"/>
        </w:rPr>
        <w:t xml:space="preserve"> </w:t>
      </w:r>
      <w:r w:rsidRPr="002867C2">
        <w:rPr>
          <w:sz w:val="16"/>
          <w:szCs w:val="16"/>
          <w:lang w:val="en-US"/>
        </w:rPr>
        <w:tab/>
      </w:r>
      <w:r w:rsidRPr="002867C2">
        <w:rPr>
          <w:sz w:val="16"/>
          <w:szCs w:val="16"/>
          <w:lang w:val="en-US"/>
        </w:rPr>
        <w:t xml:space="preserve">Also known as </w:t>
      </w:r>
      <w:r w:rsidRPr="002867C2">
        <w:rPr>
          <w:smallCaps/>
          <w:sz w:val="16"/>
          <w:szCs w:val="16"/>
          <w:lang w:val="en-US"/>
        </w:rPr>
        <w:t>stv</w:t>
      </w:r>
      <w:r w:rsidRPr="002867C2">
        <w:rPr>
          <w:sz w:val="16"/>
          <w:szCs w:val="16"/>
          <w:lang w:val="en-US"/>
        </w:rPr>
        <w:t xml:space="preserve"> in the British Isles; as instant run-off voting, </w:t>
      </w:r>
      <w:r w:rsidRPr="002867C2">
        <w:rPr>
          <w:smallCaps/>
          <w:sz w:val="16"/>
          <w:szCs w:val="16"/>
          <w:lang w:val="en-US"/>
        </w:rPr>
        <w:t>irv</w:t>
      </w:r>
      <w:r w:rsidRPr="002867C2">
        <w:rPr>
          <w:sz w:val="16"/>
          <w:szCs w:val="16"/>
          <w:lang w:val="en-US"/>
        </w:rPr>
        <w:t xml:space="preserve">, in North America; and as </w:t>
      </w:r>
      <w:r w:rsidRPr="002867C2">
        <w:rPr>
          <w:smallCaps/>
          <w:sz w:val="16"/>
          <w:szCs w:val="16"/>
          <w:lang w:val="en-US"/>
        </w:rPr>
        <w:t>pv</w:t>
      </w:r>
      <w:r w:rsidRPr="002867C2">
        <w:rPr>
          <w:sz w:val="16"/>
          <w:szCs w:val="16"/>
          <w:lang w:val="en-US"/>
        </w:rPr>
        <w:t>, preferential voting, in Australasia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94"/>
    <w:rsid w:val="0004082D"/>
    <w:rsid w:val="00085AB4"/>
    <w:rsid w:val="00252CCD"/>
    <w:rsid w:val="002867C2"/>
    <w:rsid w:val="00332EC6"/>
    <w:rsid w:val="00411549"/>
    <w:rsid w:val="004F7EDF"/>
    <w:rsid w:val="00571F0F"/>
    <w:rsid w:val="00577350"/>
    <w:rsid w:val="0070173B"/>
    <w:rsid w:val="00955FB4"/>
    <w:rsid w:val="009C5B0F"/>
    <w:rsid w:val="009C7994"/>
    <w:rsid w:val="00AD7B50"/>
    <w:rsid w:val="00BD78A2"/>
    <w:rsid w:val="00F70199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94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9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D7B50"/>
  </w:style>
  <w:style w:type="character" w:customStyle="1" w:styleId="FootnoteTextChar">
    <w:name w:val="Footnote Text Char"/>
    <w:basedOn w:val="DefaultParagraphFont"/>
    <w:link w:val="FootnoteText"/>
    <w:uiPriority w:val="99"/>
    <w:rsid w:val="00AD7B50"/>
  </w:style>
  <w:style w:type="character" w:styleId="FootnoteReference">
    <w:name w:val="footnote reference"/>
    <w:basedOn w:val="DefaultParagraphFont"/>
    <w:uiPriority w:val="99"/>
    <w:unhideWhenUsed/>
    <w:rsid w:val="00AD7B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0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9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D7B50"/>
  </w:style>
  <w:style w:type="character" w:customStyle="1" w:styleId="FootnoteTextChar">
    <w:name w:val="Footnote Text Char"/>
    <w:basedOn w:val="DefaultParagraphFont"/>
    <w:link w:val="FootnoteText"/>
    <w:uiPriority w:val="99"/>
    <w:rsid w:val="00AD7B50"/>
  </w:style>
  <w:style w:type="character" w:styleId="FootnoteReference">
    <w:name w:val="footnote reference"/>
    <w:basedOn w:val="DefaultParagraphFont"/>
    <w:uiPriority w:val="99"/>
    <w:unhideWhenUsed/>
    <w:rsid w:val="00AD7B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0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United_States_presidential_election_in_New_Hampshire,_2016" TargetMode="External"/><Relationship Id="rId9" Type="http://schemas.openxmlformats.org/officeDocument/2006/relationships/hyperlink" Target="http://www.debord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8A891-B6BC-EC42-8D99-125DB2BF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571</Words>
  <Characters>3256</Characters>
  <Application>Microsoft Macintosh Word</Application>
  <DocSecurity>0</DocSecurity>
  <Lines>27</Lines>
  <Paragraphs>7</Paragraphs>
  <ScaleCrop>false</ScaleCrop>
  <Company>The de Borda Institute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2016-11-10T16:11:00Z</dcterms:created>
  <dcterms:modified xsi:type="dcterms:W3CDTF">2016-11-11T10:35:00Z</dcterms:modified>
</cp:coreProperties>
</file>